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湖南稀土金属材料研究院</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湖南稀土金属材料研究院</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宋体" w:hAnsi="宋体" w:eastAsia="宋体" w:cs="宋体"/>
          <w:sz w:val="32"/>
          <w:szCs w:val="32"/>
        </w:rPr>
      </w:pPr>
      <w:r>
        <w:rPr>
          <w:rFonts w:hint="eastAsia" w:ascii="宋体" w:hAnsi="宋体" w:eastAsia="宋体" w:cs="宋体"/>
          <w:bCs/>
          <w:sz w:val="32"/>
          <w:szCs w:val="32"/>
        </w:rPr>
        <w:t>湖南稀土金属材料研究院（以下简称本单位）创建于1958年，是国务院242家转制科研院所之一，是国内最早从事稀土材料应用研究与开发的机构之一，是我国“两弹一星”成功研制授勋单位、国家火炬计划重点高新技术企业、国家技术示范创新企业。</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960" w:firstLineChars="300"/>
        <w:rPr>
          <w:rFonts w:ascii="宋体" w:hAnsi="宋体" w:eastAsia="宋体" w:cs="宋体"/>
          <w:bCs/>
          <w:kern w:val="0"/>
          <w:sz w:val="32"/>
          <w:szCs w:val="32"/>
        </w:rPr>
      </w:pPr>
      <w:r>
        <w:rPr>
          <w:rFonts w:hint="eastAsia" w:asciiTheme="minorEastAsia" w:hAnsiTheme="minorEastAsia"/>
          <w:bCs/>
          <w:kern w:val="0"/>
          <w:sz w:val="32"/>
          <w:szCs w:val="32"/>
        </w:rPr>
        <w:t>湖南稀土金属材料研究院内设机构包括：</w:t>
      </w:r>
      <w:r>
        <w:rPr>
          <w:rFonts w:hint="eastAsia" w:ascii="宋体" w:hAnsi="宋体" w:eastAsia="宋体" w:cs="宋体"/>
          <w:bCs/>
          <w:sz w:val="32"/>
          <w:szCs w:val="32"/>
        </w:rPr>
        <w:t>职能部门八个，分别是党政办公室（保密办公室）、人力资源部、财务管理部（投资管理部）、科技管理部（质量管理部）、纪检监察室、群团工作部、综合业务部、后勤服务部；实体部门四个，分别是稀土金属研究所、稀土轻合金研究所、分析测试研究所、稀土新能源研究所。单位下设</w:t>
      </w:r>
      <w:r>
        <w:rPr>
          <w:rFonts w:hint="eastAsia" w:ascii="宋体" w:hAnsi="宋体" w:eastAsia="宋体" w:cs="宋体"/>
          <w:sz w:val="32"/>
          <w:szCs w:val="32"/>
        </w:rPr>
        <w:t>两个控股公司和两个全资子公司，分别是湖南鑫晟稀土材料有限公司、湖南省稀土分析检测中心有限公司、桃江瑞龙金属新材料有限责任公司、湖南稀土新能源材料有限责任公司。</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960" w:firstLineChars="300"/>
        <w:rPr>
          <w:rFonts w:ascii="宋体" w:hAnsi="宋体" w:eastAsia="宋体" w:cs="宋体"/>
          <w:bCs/>
          <w:kern w:val="0"/>
          <w:sz w:val="32"/>
          <w:szCs w:val="32"/>
        </w:rPr>
      </w:pPr>
      <w:r>
        <w:rPr>
          <w:rFonts w:hint="eastAsia" w:asciiTheme="minorEastAsia" w:hAnsiTheme="minorEastAsia"/>
          <w:bCs/>
          <w:kern w:val="0"/>
          <w:sz w:val="32"/>
          <w:szCs w:val="32"/>
        </w:rPr>
        <w:t>湖南稀土金属材料研究院</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20年部门决算汇总公开单位构成包括：湖南稀土金属材料研究院本级以及子公司</w:t>
      </w:r>
      <w:r>
        <w:rPr>
          <w:rFonts w:hint="eastAsia" w:ascii="宋体" w:hAnsi="宋体" w:eastAsia="宋体" w:cs="宋体"/>
          <w:sz w:val="32"/>
          <w:szCs w:val="32"/>
        </w:rPr>
        <w:t>湖南鑫晟稀土材料有限公司、湖南省稀土分析检测中心有限公司、桃江瑞龙金属新材料有限责任公司、湖南稀土新能源材料有限责任公司。</w:t>
      </w:r>
    </w:p>
    <w:p>
      <w:pPr>
        <w:widowControl/>
        <w:spacing w:line="600" w:lineRule="exact"/>
        <w:ind w:firstLine="640" w:firstLineChars="200"/>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部门：湖南稀土金属材料研究院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3,320.07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21,895.30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24,446.12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25,215.37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25,398.12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800.64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617.89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26,016.01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26,016.01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pPr w:leftFromText="180" w:rightFromText="180" w:vertAnchor="text" w:horzAnchor="page" w:tblpX="728" w:tblpY="332"/>
        <w:tblOverlap w:val="never"/>
        <w:tblW w:w="14480" w:type="dxa"/>
        <w:tblInd w:w="0" w:type="dxa"/>
        <w:tblLayout w:type="fixed"/>
        <w:tblCellMar>
          <w:top w:w="0" w:type="dxa"/>
          <w:left w:w="0" w:type="dxa"/>
          <w:bottom w:w="0" w:type="dxa"/>
          <w:right w:w="0" w:type="dxa"/>
        </w:tblCellMar>
      </w:tblPr>
      <w:tblGrid>
        <w:gridCol w:w="50"/>
        <w:gridCol w:w="1155"/>
        <w:gridCol w:w="3283"/>
        <w:gridCol w:w="1485"/>
        <w:gridCol w:w="1349"/>
        <w:gridCol w:w="1499"/>
        <w:gridCol w:w="1254"/>
        <w:gridCol w:w="1185"/>
        <w:gridCol w:w="1907"/>
        <w:gridCol w:w="1313"/>
      </w:tblGrid>
      <w:tr>
        <w:tblPrEx>
          <w:tblCellMar>
            <w:top w:w="0" w:type="dxa"/>
            <w:left w:w="0" w:type="dxa"/>
            <w:bottom w:w="0" w:type="dxa"/>
            <w:right w:w="0" w:type="dxa"/>
          </w:tblCellMar>
        </w:tblPrEx>
        <w:trPr>
          <w:trHeight w:val="516" w:hRule="atLeast"/>
        </w:trPr>
        <w:tc>
          <w:tcPr>
            <w:tcW w:w="144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9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ind w:firstLine="200" w:firstLineChars="100"/>
              <w:rPr>
                <w:rFonts w:ascii="宋体" w:hAnsi="宋体" w:eastAsia="宋体" w:cs="宋体"/>
                <w:color w:val="000000"/>
                <w:sz w:val="20"/>
                <w:szCs w:val="20"/>
              </w:rPr>
            </w:pPr>
            <w:r>
              <w:rPr>
                <w:rFonts w:hint="eastAsia"/>
                <w:color w:val="000000"/>
                <w:sz w:val="20"/>
                <w:szCs w:val="20"/>
              </w:rPr>
              <w:t>部门：</w:t>
            </w:r>
          </w:p>
        </w:tc>
        <w:tc>
          <w:tcPr>
            <w:tcW w:w="3286" w:type="dxa"/>
            <w:tcBorders>
              <w:top w:val="nil"/>
              <w:left w:val="nil"/>
              <w:bottom w:val="nil"/>
              <w:right w:val="nil"/>
            </w:tcBorders>
            <w:shd w:val="clear" w:color="000000" w:fill="FFFFFF"/>
            <w:noWrap/>
            <w:tcMar>
              <w:top w:w="15" w:type="dxa"/>
              <w:left w:w="15" w:type="dxa"/>
              <w:bottom w:w="0" w:type="dxa"/>
              <w:right w:w="15" w:type="dxa"/>
            </w:tcMar>
            <w:vAlign w:val="center"/>
          </w:tcPr>
          <w:p>
            <w:pPr>
              <w:tabs>
                <w:tab w:val="center" w:pos="1061"/>
              </w:tabs>
              <w:rPr>
                <w:rFonts w:ascii="宋体" w:hAnsi="宋体" w:cs="宋体"/>
                <w:sz w:val="24"/>
                <w:szCs w:val="24"/>
              </w:rPr>
            </w:pPr>
            <w:r>
              <w:rPr>
                <w:rFonts w:hint="eastAsia"/>
                <w:sz w:val="20"/>
                <w:szCs w:val="20"/>
              </w:rPr>
              <w:t>湖南稀土金属材料研究院</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46" w:hRule="atLeast"/>
        </w:trPr>
        <w:tc>
          <w:tcPr>
            <w:tcW w:w="44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28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19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28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5" w:hRule="atLeast"/>
        </w:trPr>
        <w:tc>
          <w:tcPr>
            <w:tcW w:w="4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9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3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11" w:hRule="atLeast"/>
        </w:trPr>
        <w:tc>
          <w:tcPr>
            <w:tcW w:w="4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25,215.37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3,320.07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21,895.30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411"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2"/>
              </w:rPr>
            </w:pPr>
            <w:r>
              <w:rPr>
                <w:rFonts w:hint="eastAsia" w:ascii="宋体" w:hAnsi="宋体" w:eastAsia="宋体" w:cs="宋体"/>
                <w:sz w:val="22"/>
              </w:rPr>
              <w:t>206</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2"/>
              </w:rPr>
            </w:pPr>
            <w:r>
              <w:rPr>
                <w:rFonts w:hint="eastAsia" w:ascii="宋体" w:hAnsi="宋体" w:eastAsia="宋体" w:cs="宋体"/>
                <w:sz w:val="22"/>
              </w:rPr>
              <w:t>　科学技术支出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24,263.37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2,368.07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21,895.30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435"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应用研究</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396"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2060303</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高技术研究</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424"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技术研究与开发</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22,893.37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21,895.30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383"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2060401</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22,893.37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21,895.30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410"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24"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　</w:t>
            </w:r>
          </w:p>
        </w:tc>
      </w:tr>
      <w:tr>
        <w:tblPrEx>
          <w:tblCellMar>
            <w:top w:w="0" w:type="dxa"/>
            <w:left w:w="0" w:type="dxa"/>
            <w:bottom w:w="0" w:type="dxa"/>
            <w:right w:w="0" w:type="dxa"/>
          </w:tblCellMar>
        </w:tblPrEx>
        <w:trPr>
          <w:trHeight w:val="396"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2080599</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其他行政事业单位养老支出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397"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24"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50"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50"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11"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支持中小企业发展和管理支出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50" w:hRule="atLeast"/>
        </w:trPr>
        <w:tc>
          <w:tcPr>
            <w:tcW w:w="11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2150899</w:t>
            </w:r>
          </w:p>
        </w:tc>
        <w:tc>
          <w:tcPr>
            <w:tcW w:w="32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rPr>
              <w:t>其他支持中小企业发展和管理支出</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2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rPr>
            </w:pPr>
            <w:r>
              <w:rPr>
                <w:rFonts w:hint="eastAsia" w:ascii="宋体" w:hAnsi="宋体" w:eastAsia="宋体" w:cs="宋体"/>
                <w:sz w:val="22"/>
              </w:rPr>
              <w:t>0.00</w:t>
            </w:r>
          </w:p>
        </w:tc>
      </w:tr>
      <w:tr>
        <w:tblPrEx>
          <w:tblCellMar>
            <w:top w:w="0" w:type="dxa"/>
            <w:left w:w="0" w:type="dxa"/>
            <w:bottom w:w="0" w:type="dxa"/>
            <w:right w:w="0" w:type="dxa"/>
          </w:tblCellMar>
        </w:tblPrEx>
        <w:trPr>
          <w:trHeight w:val="441" w:hRule="atLeast"/>
        </w:trPr>
        <w:tc>
          <w:tcPr>
            <w:tcW w:w="144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13183" w:type="dxa"/>
        <w:tblInd w:w="93" w:type="dxa"/>
        <w:tblLayout w:type="fixed"/>
        <w:tblCellMar>
          <w:top w:w="0" w:type="dxa"/>
          <w:left w:w="108" w:type="dxa"/>
          <w:bottom w:w="0" w:type="dxa"/>
          <w:right w:w="108" w:type="dxa"/>
        </w:tblCellMar>
      </w:tblPr>
      <w:tblGrid>
        <w:gridCol w:w="1040"/>
        <w:gridCol w:w="236"/>
        <w:gridCol w:w="3239"/>
        <w:gridCol w:w="1771"/>
        <w:gridCol w:w="1349"/>
        <w:gridCol w:w="1212"/>
        <w:gridCol w:w="1689"/>
        <w:gridCol w:w="1295"/>
        <w:gridCol w:w="1352"/>
      </w:tblGrid>
      <w:tr>
        <w:tblPrEx>
          <w:tblCellMar>
            <w:top w:w="0" w:type="dxa"/>
            <w:left w:w="108" w:type="dxa"/>
            <w:bottom w:w="0" w:type="dxa"/>
            <w:right w:w="108" w:type="dxa"/>
          </w:tblCellMar>
        </w:tblPrEx>
        <w:trPr>
          <w:trHeight w:val="556"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40" w:hRule="atLeast"/>
        </w:trPr>
        <w:tc>
          <w:tcPr>
            <w:tcW w:w="628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部门：湖南稀土金属材料研究院</w:t>
            </w: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45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3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24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2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28" w:hRule="atLeast"/>
        </w:trPr>
        <w:tc>
          <w:tcPr>
            <w:tcW w:w="45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82" w:hRule="atLeast"/>
        </w:trPr>
        <w:tc>
          <w:tcPr>
            <w:tcW w:w="45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25,398.12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1,675.07</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1,645.00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22,078.05</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24,446.12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22,078.05</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应用研究</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0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2060303</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高技术研究</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技术研究与开发</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23,076.12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22,078.05</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22"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2060401</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23,076.12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22,078.05</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2080599</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其他行政事业单位养老支出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支持中小企业发展和管理支出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2150899</w:t>
            </w:r>
          </w:p>
        </w:tc>
        <w:tc>
          <w:tcPr>
            <w:tcW w:w="3243"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其他支持中小企业发展和管理支出</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6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35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77"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6"/>
        <w:tblpPr w:leftFromText="180" w:rightFromText="180" w:vertAnchor="text" w:horzAnchor="page" w:tblpX="780" w:tblpY="40"/>
        <w:tblOverlap w:val="never"/>
        <w:tblW w:w="15521" w:type="dxa"/>
        <w:tblInd w:w="0" w:type="dxa"/>
        <w:tblLayout w:type="fixed"/>
        <w:tblCellMar>
          <w:top w:w="0" w:type="dxa"/>
          <w:left w:w="108" w:type="dxa"/>
          <w:bottom w:w="0" w:type="dxa"/>
          <w:right w:w="108" w:type="dxa"/>
        </w:tblCellMar>
      </w:tblPr>
      <w:tblGrid>
        <w:gridCol w:w="3591"/>
        <w:gridCol w:w="436"/>
        <w:gridCol w:w="1230"/>
        <w:gridCol w:w="3272"/>
        <w:gridCol w:w="631"/>
        <w:gridCol w:w="435"/>
        <w:gridCol w:w="1571"/>
        <w:gridCol w:w="1392"/>
        <w:gridCol w:w="1392"/>
        <w:gridCol w:w="1571"/>
      </w:tblGrid>
      <w:tr>
        <w:tblPrEx>
          <w:tblCellMar>
            <w:top w:w="0" w:type="dxa"/>
            <w:left w:w="108" w:type="dxa"/>
            <w:bottom w:w="0" w:type="dxa"/>
            <w:right w:w="108" w:type="dxa"/>
          </w:tblCellMar>
        </w:tblPrEx>
        <w:trPr>
          <w:trHeight w:val="542"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部门：湖南稀土金属材料研究院</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4"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3,320.07</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2,368.07</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2,368.07</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color w:val="000000"/>
                <w:kern w:val="0"/>
                <w:sz w:val="22"/>
              </w:rPr>
              <w:t>3,320.07</w:t>
            </w:r>
            <w:r>
              <w:rPr>
                <w:rFonts w:hint="eastAsia" w:ascii="宋体" w:hAnsi="宋体" w:eastAsia="宋体" w:cs="宋体"/>
                <w:kern w:val="0"/>
                <w:sz w:val="22"/>
              </w:rPr>
              <w:t>　</w:t>
            </w:r>
          </w:p>
        </w:tc>
        <w:tc>
          <w:tcPr>
            <w:tcW w:w="3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3,320.07</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3,320.07</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color w:val="000000"/>
                <w:kern w:val="0"/>
                <w:sz w:val="22"/>
              </w:rPr>
              <w:t>3,320.07</w:t>
            </w:r>
            <w:r>
              <w:rPr>
                <w:rFonts w:hint="eastAsia" w:ascii="宋体" w:hAnsi="宋体" w:eastAsia="宋体" w:cs="宋体"/>
                <w:kern w:val="0"/>
                <w:sz w:val="22"/>
              </w:rPr>
              <w:t>　</w:t>
            </w:r>
          </w:p>
        </w:tc>
        <w:tc>
          <w:tcPr>
            <w:tcW w:w="32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color w:val="000000"/>
                <w:kern w:val="0"/>
                <w:sz w:val="22"/>
              </w:rPr>
              <w:t>3,320.07</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color w:val="000000"/>
                <w:kern w:val="0"/>
                <w:sz w:val="22"/>
              </w:rPr>
              <w:t>3,320.07</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eastAsia"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Lines="5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部门：湖南稀土金属材料研究院                                                                                                         公开05表</w:t>
      </w:r>
    </w:p>
    <w:p>
      <w:pPr>
        <w:widowControl/>
        <w:ind w:firstLine="13400" w:firstLineChars="6700"/>
        <w:jc w:val="left"/>
        <w:rPr>
          <w:rFonts w:ascii="Times New Roman" w:hAnsi="Times New Roman" w:eastAsia="宋体" w:cs="Times New Roman"/>
          <w:color w:val="000000"/>
          <w:kern w:val="0"/>
          <w:sz w:val="20"/>
          <w:szCs w:val="20"/>
        </w:rPr>
      </w:pPr>
      <w:r>
        <w:rPr>
          <w:rFonts w:hint="eastAsia" w:ascii="宋体" w:hAnsi="宋体" w:eastAsia="宋体" w:cs="宋体"/>
          <w:color w:val="000000"/>
          <w:kern w:val="0"/>
          <w:sz w:val="20"/>
          <w:szCs w:val="20"/>
        </w:rPr>
        <w:t>单位：万元</w:t>
      </w:r>
    </w:p>
    <w:tbl>
      <w:tblPr>
        <w:tblStyle w:val="6"/>
        <w:tblW w:w="14219" w:type="dxa"/>
        <w:jc w:val="center"/>
        <w:tblLayout w:type="autofit"/>
        <w:tblCellMar>
          <w:top w:w="0" w:type="dxa"/>
          <w:left w:w="108" w:type="dxa"/>
          <w:bottom w:w="0" w:type="dxa"/>
          <w:right w:w="108" w:type="dxa"/>
        </w:tblCellMar>
      </w:tblPr>
      <w:tblGrid>
        <w:gridCol w:w="1200"/>
        <w:gridCol w:w="3807"/>
        <w:gridCol w:w="2720"/>
        <w:gridCol w:w="3492"/>
        <w:gridCol w:w="3000"/>
      </w:tblGrid>
      <w:tr>
        <w:tblPrEx>
          <w:tblCellMar>
            <w:top w:w="0" w:type="dxa"/>
            <w:left w:w="108" w:type="dxa"/>
            <w:bottom w:w="0" w:type="dxa"/>
            <w:right w:w="108" w:type="dxa"/>
          </w:tblCellMar>
        </w:tblPrEx>
        <w:trPr>
          <w:trHeight w:val="405" w:hRule="atLeast"/>
          <w:jc w:val="center"/>
        </w:trPr>
        <w:tc>
          <w:tcPr>
            <w:tcW w:w="500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项 目</w:t>
            </w:r>
          </w:p>
        </w:tc>
        <w:tc>
          <w:tcPr>
            <w:tcW w:w="921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b/>
                <w:kern w:val="0"/>
                <w:sz w:val="22"/>
              </w:rPr>
            </w:pPr>
            <w:r>
              <w:rPr>
                <w:rFonts w:hint="eastAsia" w:ascii="宋体" w:hAnsi="宋体" w:eastAsia="宋体" w:cs="宋体"/>
                <w:b/>
                <w:kern w:val="0"/>
                <w:sz w:val="22"/>
              </w:rPr>
              <w:t>功能分类科目编码</w:t>
            </w:r>
          </w:p>
        </w:tc>
        <w:tc>
          <w:tcPr>
            <w:tcW w:w="3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科目名称</w:t>
            </w:r>
          </w:p>
        </w:tc>
        <w:tc>
          <w:tcPr>
            <w:tcW w:w="27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1" w:hRule="atLeast"/>
          <w:jc w:val="center"/>
        </w:trPr>
        <w:tc>
          <w:tcPr>
            <w:tcW w:w="5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382" w:hRule="atLeast"/>
          <w:jc w:val="center"/>
        </w:trPr>
        <w:tc>
          <w:tcPr>
            <w:tcW w:w="50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3,320.07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1,675.07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1,645.00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2,368.07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应用研究</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r>
      <w:tr>
        <w:tblPrEx>
          <w:tblCellMar>
            <w:top w:w="0" w:type="dxa"/>
            <w:left w:w="108" w:type="dxa"/>
            <w:bottom w:w="0" w:type="dxa"/>
            <w:right w:w="108" w:type="dxa"/>
          </w:tblCellMar>
        </w:tblPrEx>
        <w:trPr>
          <w:trHeight w:val="41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2060303</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高技术研究</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1,370.00</w:t>
            </w:r>
          </w:p>
        </w:tc>
      </w:tr>
      <w:tr>
        <w:tblPrEx>
          <w:tblCellMar>
            <w:top w:w="0" w:type="dxa"/>
            <w:left w:w="108" w:type="dxa"/>
            <w:bottom w:w="0" w:type="dxa"/>
            <w:right w:w="108" w:type="dxa"/>
          </w:tblCellMar>
        </w:tblPrEx>
        <w:trPr>
          <w:trHeight w:val="38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技术研究与开发</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2060401</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机构运行</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998.07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2080599</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其他行政事业单位养老支出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r>
      <w:tr>
        <w:tblPrEx>
          <w:tblCellMar>
            <w:top w:w="0" w:type="dxa"/>
            <w:left w:w="108" w:type="dxa"/>
            <w:bottom w:w="0" w:type="dxa"/>
            <w:right w:w="108" w:type="dxa"/>
          </w:tblCellMar>
        </w:tblPrEx>
        <w:trPr>
          <w:trHeight w:val="39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w:t>
            </w:r>
          </w:p>
        </w:tc>
        <w:tc>
          <w:tcPr>
            <w:tcW w:w="380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支持中小企业发展和管理支出</w:t>
            </w:r>
          </w:p>
        </w:tc>
        <w:tc>
          <w:tcPr>
            <w:tcW w:w="2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r>
      <w:tr>
        <w:tblPrEx>
          <w:tblCellMar>
            <w:top w:w="0" w:type="dxa"/>
            <w:left w:w="108" w:type="dxa"/>
            <w:bottom w:w="0" w:type="dxa"/>
            <w:right w:w="108" w:type="dxa"/>
          </w:tblCellMar>
        </w:tblPrEx>
        <w:trPr>
          <w:trHeight w:val="42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2150899</w:t>
            </w:r>
          </w:p>
        </w:tc>
        <w:tc>
          <w:tcPr>
            <w:tcW w:w="380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其他支持中小企业发展和管理支出</w:t>
            </w:r>
          </w:p>
        </w:tc>
        <w:tc>
          <w:tcPr>
            <w:tcW w:w="27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275.00</w:t>
            </w:r>
          </w:p>
        </w:tc>
      </w:tr>
      <w:tr>
        <w:tblPrEx>
          <w:tblCellMar>
            <w:top w:w="0" w:type="dxa"/>
            <w:left w:w="108" w:type="dxa"/>
            <w:bottom w:w="0" w:type="dxa"/>
            <w:right w:w="108" w:type="dxa"/>
          </w:tblCellMar>
        </w:tblPrEx>
        <w:trPr>
          <w:trHeight w:val="38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15698" w:type="dxa"/>
        <w:tblInd w:w="0" w:type="dxa"/>
        <w:tblLayout w:type="fixed"/>
        <w:tblCellMar>
          <w:top w:w="0" w:type="dxa"/>
          <w:left w:w="108" w:type="dxa"/>
          <w:bottom w:w="0" w:type="dxa"/>
          <w:right w:w="108" w:type="dxa"/>
        </w:tblCellMar>
      </w:tblPr>
      <w:tblGrid>
        <w:gridCol w:w="1205"/>
        <w:gridCol w:w="3327"/>
        <w:gridCol w:w="1022"/>
        <w:gridCol w:w="1158"/>
        <w:gridCol w:w="2276"/>
        <w:gridCol w:w="889"/>
        <w:gridCol w:w="1200"/>
        <w:gridCol w:w="3491"/>
        <w:gridCol w:w="1130"/>
      </w:tblGrid>
      <w:tr>
        <w:tblPrEx>
          <w:tblCellMar>
            <w:top w:w="0" w:type="dxa"/>
            <w:left w:w="108" w:type="dxa"/>
            <w:bottom w:w="0" w:type="dxa"/>
            <w:right w:w="108" w:type="dxa"/>
          </w:tblCellMar>
        </w:tblPrEx>
        <w:trPr>
          <w:trHeight w:val="1180" w:hRule="atLeast"/>
        </w:trPr>
        <w:tc>
          <w:tcPr>
            <w:tcW w:w="1569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湖南稀土金属材料研究院                                                                                                           公开06表</w:t>
            </w:r>
          </w:p>
          <w:p>
            <w:pPr>
              <w:widowControl/>
              <w:ind w:right="210"/>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486"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998.07</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218.07</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50"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677.00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1,675.07</w:t>
            </w:r>
          </w:p>
        </w:tc>
        <w:tc>
          <w:tcPr>
            <w:tcW w:w="901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　0.00</w:t>
            </w:r>
          </w:p>
        </w:tc>
      </w:tr>
      <w:tr>
        <w:tblPrEx>
          <w:tblCellMar>
            <w:top w:w="0" w:type="dxa"/>
            <w:left w:w="108" w:type="dxa"/>
            <w:bottom w:w="0" w:type="dxa"/>
            <w:right w:w="108" w:type="dxa"/>
          </w:tblCellMar>
        </w:tblPrEx>
        <w:trPr>
          <w:trHeight w:val="229" w:hRule="exact"/>
        </w:trPr>
        <w:tc>
          <w:tcPr>
            <w:tcW w:w="1569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leftChars="150" w:hanging="13755" w:hangingChars="6550"/>
        <w:jc w:val="left"/>
        <w:rPr>
          <w:rFonts w:ascii="宋体" w:hAnsi="宋体" w:eastAsia="宋体" w:cs="宋体"/>
          <w:color w:val="000000"/>
          <w:kern w:val="0"/>
          <w:sz w:val="20"/>
          <w:szCs w:val="20"/>
        </w:rPr>
      </w:pPr>
      <w:r>
        <w:rPr>
          <w:rFonts w:hint="eastAsia" w:ascii="宋体" w:hAnsi="宋体" w:eastAsia="宋体" w:cs="宋体"/>
          <w:color w:val="000000"/>
          <w:kern w:val="0"/>
          <w:szCs w:val="21"/>
        </w:rPr>
        <w:t xml:space="preserve">部门：湖南稀土金属材料研究院                                                                                                      </w:t>
      </w:r>
      <w:r>
        <w:rPr>
          <w:rFonts w:hint="eastAsia" w:ascii="宋体" w:hAnsi="宋体" w:eastAsia="宋体" w:cs="宋体"/>
          <w:color w:val="000000"/>
          <w:kern w:val="0"/>
          <w:sz w:val="20"/>
          <w:szCs w:val="20"/>
        </w:rPr>
        <w:t>公开07表</w:t>
      </w:r>
    </w:p>
    <w:p>
      <w:pPr>
        <w:widowControl/>
        <w:ind w:right="420"/>
        <w:jc w:val="righ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w:t>
            </w:r>
          </w:p>
          <w:p>
            <w:pPr>
              <w:widowControl/>
              <w:jc w:val="center"/>
              <w:rPr>
                <w:rFonts w:ascii="宋体" w:hAnsi="宋体" w:eastAsia="宋体" w:cs="宋体"/>
                <w:kern w:val="0"/>
                <w:sz w:val="22"/>
              </w:rPr>
            </w:pPr>
            <w:r>
              <w:rPr>
                <w:rFonts w:hint="eastAsia" w:ascii="宋体" w:hAnsi="宋体" w:eastAsia="宋体" w:cs="宋体"/>
                <w:kern w:val="0"/>
                <w:sz w:val="22"/>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w:t>
            </w:r>
          </w:p>
          <w:p>
            <w:pPr>
              <w:widowControl/>
              <w:jc w:val="center"/>
              <w:rPr>
                <w:rFonts w:ascii="宋体" w:hAnsi="宋体" w:eastAsia="宋体" w:cs="宋体"/>
                <w:kern w:val="0"/>
                <w:sz w:val="22"/>
              </w:rPr>
            </w:pPr>
            <w:r>
              <w:rPr>
                <w:rFonts w:hint="eastAsia" w:ascii="宋体" w:hAnsi="宋体" w:eastAsia="宋体" w:cs="宋体"/>
                <w:kern w:val="0"/>
                <w:sz w:val="22"/>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w:t>
            </w:r>
            <w:r>
              <w:rPr>
                <w:rFonts w:hint="eastAsia" w:ascii="宋体" w:hAnsi="宋体" w:eastAsia="宋体" w:cs="宋体"/>
                <w:kern w:val="0"/>
                <w:sz w:val="22"/>
              </w:rPr>
              <w:br w:type="textWrapping"/>
            </w: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0.00</w:t>
            </w:r>
          </w:p>
        </w:tc>
      </w:tr>
    </w:tbl>
    <w:p>
      <w:pPr>
        <w:widowControl/>
        <w:ind w:left="239" w:leftChars="114"/>
        <w:jc w:val="left"/>
        <w:rPr>
          <w:rFonts w:ascii="宋体" w:eastAsia="宋体" w:cs="宋体"/>
          <w:kern w:val="0"/>
          <w:sz w:val="22"/>
        </w:rPr>
      </w:pPr>
    </w:p>
    <w:p>
      <w:pPr>
        <w:widowControl/>
        <w:ind w:left="239" w:leftChars="114"/>
        <w:jc w:val="left"/>
        <w:rPr>
          <w:rFonts w:ascii="宋体" w:eastAsia="宋体" w:cs="宋体"/>
          <w:kern w:val="0"/>
          <w:sz w:val="22"/>
        </w:rPr>
      </w:pPr>
      <w:r>
        <w:rPr>
          <w:rFonts w:hint="eastAsia" w:ascii="宋体" w:eastAsia="宋体" w:cs="宋体"/>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2"/>
        </w:rPr>
      </w:pPr>
    </w:p>
    <w:p>
      <w:pPr>
        <w:widowControl/>
        <w:ind w:firstLine="440" w:firstLineChars="200"/>
        <w:jc w:val="left"/>
        <w:rPr>
          <w:rFonts w:ascii="宋体" w:eastAsia="宋体" w:cs="宋体"/>
          <w:kern w:val="0"/>
          <w:sz w:val="24"/>
          <w:szCs w:val="24"/>
        </w:rPr>
      </w:pPr>
      <w:r>
        <w:rPr>
          <w:rFonts w:hint="eastAsia" w:ascii="宋体" w:eastAsia="宋体" w:cs="宋体"/>
          <w:kern w:val="0"/>
          <w:sz w:val="22"/>
        </w:rPr>
        <w:t>本单位为事业单位改制的企业，财政对本单位的差额拨款主要为离退休人员的生活补助和人员工资，不包含“三公经费”支出，故本表无数据。</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hint="eastAsia"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w:t>
      </w:r>
    </w:p>
    <w:p>
      <w:pPr>
        <w:widowControl/>
        <w:ind w:firstLine="200" w:firstLineChars="100"/>
        <w:rPr>
          <w:rFonts w:ascii="Times New Roman" w:hAnsi="Times New Roman" w:eastAsia="方正小标宋_GBK" w:cs="Times New Roman"/>
          <w:kern w:val="0"/>
          <w:sz w:val="36"/>
          <w:szCs w:val="36"/>
        </w:rPr>
      </w:pPr>
      <w:r>
        <w:rPr>
          <w:rFonts w:hint="eastAsia" w:ascii="宋体" w:hAnsi="宋体" w:eastAsia="宋体" w:cs="宋体"/>
          <w:color w:val="000000"/>
          <w:kern w:val="0"/>
          <w:sz w:val="20"/>
          <w:szCs w:val="20"/>
        </w:rPr>
        <w:t>部门：湖南稀土金属材料研究院                                                                                                           公开08表</w:t>
      </w:r>
    </w:p>
    <w:p>
      <w:pPr>
        <w:widowControl/>
        <w:ind w:right="40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bookmarkStart w:id="3" w:name="_GoBack"/>
      <w:bookmarkEnd w:id="3"/>
      <w:r>
        <w:rPr>
          <w:rFonts w:hint="eastAsia" w:ascii="宋体" w:hAnsi="宋体" w:eastAsia="宋体" w:cs="宋体"/>
          <w:color w:val="000000"/>
          <w:kern w:val="0"/>
          <w:sz w:val="20"/>
          <w:szCs w:val="2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项 目</w:t>
            </w: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年初结转和结余</w:t>
            </w: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本年收入</w:t>
            </w:r>
          </w:p>
        </w:tc>
        <w:tc>
          <w:tcPr>
            <w:tcW w:w="6000" w:type="dxa"/>
            <w:gridSpan w:val="3"/>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本年支出</w:t>
            </w: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功能分类科目编码</w:t>
            </w:r>
          </w:p>
        </w:tc>
        <w:tc>
          <w:tcPr>
            <w:tcW w:w="132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科目名称</w:t>
            </w:r>
          </w:p>
        </w:tc>
        <w:tc>
          <w:tcPr>
            <w:tcW w:w="2000" w:type="dxa"/>
            <w:vMerge w:val="continue"/>
            <w:vAlign w:val="center"/>
          </w:tcPr>
          <w:p>
            <w:pPr>
              <w:widowControl/>
              <w:jc w:val="left"/>
              <w:rPr>
                <w:rFonts w:ascii="宋体" w:hAnsi="宋体" w:eastAsia="宋体" w:cs="宋体"/>
                <w:b/>
                <w:kern w:val="0"/>
                <w:sz w:val="22"/>
              </w:rPr>
            </w:pPr>
          </w:p>
        </w:tc>
        <w:tc>
          <w:tcPr>
            <w:tcW w:w="2000" w:type="dxa"/>
            <w:vMerge w:val="continue"/>
            <w:vAlign w:val="center"/>
          </w:tcPr>
          <w:p>
            <w:pPr>
              <w:widowControl/>
              <w:jc w:val="left"/>
              <w:rPr>
                <w:rFonts w:ascii="宋体" w:hAnsi="宋体" w:eastAsia="宋体" w:cs="宋体"/>
                <w:b/>
                <w:kern w:val="0"/>
                <w:sz w:val="22"/>
              </w:rPr>
            </w:pP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小计</w:t>
            </w: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 xml:space="preserve">基本支出  </w:t>
            </w:r>
          </w:p>
        </w:tc>
        <w:tc>
          <w:tcPr>
            <w:tcW w:w="2000" w:type="dxa"/>
            <w:vMerge w:val="restart"/>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项目支出</w:t>
            </w:r>
          </w:p>
        </w:tc>
        <w:tc>
          <w:tcPr>
            <w:tcW w:w="2000" w:type="dxa"/>
            <w:vMerge w:val="continue"/>
            <w:vAlign w:val="center"/>
          </w:tcPr>
          <w:p>
            <w:pPr>
              <w:widowControl/>
              <w:jc w:val="left"/>
              <w:rPr>
                <w:rFonts w:ascii="宋体" w:hAnsi="宋体" w:eastAsia="宋体" w:cs="宋体"/>
                <w:b/>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宋体" w:hAnsi="宋体" w:eastAsia="宋体" w:cs="宋体"/>
                <w:kern w:val="0"/>
                <w:sz w:val="22"/>
              </w:rPr>
            </w:pPr>
          </w:p>
        </w:tc>
        <w:tc>
          <w:tcPr>
            <w:tcW w:w="132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宋体" w:hAnsi="宋体" w:eastAsia="宋体" w:cs="宋体"/>
                <w:kern w:val="0"/>
                <w:sz w:val="22"/>
              </w:rPr>
            </w:pPr>
          </w:p>
        </w:tc>
        <w:tc>
          <w:tcPr>
            <w:tcW w:w="132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c>
          <w:tcPr>
            <w:tcW w:w="2000" w:type="dxa"/>
            <w:vMerge w:val="continue"/>
            <w:vAlign w:val="center"/>
          </w:tcPr>
          <w:p>
            <w:pPr>
              <w:widowControl/>
              <w:jc w:val="left"/>
              <w:rPr>
                <w:rFonts w:ascii="宋体" w:hAnsi="宋体" w:eastAsia="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2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00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bl>
    <w:p>
      <w:pPr>
        <w:widowControl/>
        <w:ind w:firstLine="440" w:firstLineChars="200"/>
        <w:jc w:val="left"/>
        <w:rPr>
          <w:rFonts w:ascii="宋体" w:hAnsi="宋体" w:eastAsia="宋体" w:cs="宋体"/>
          <w:kern w:val="0"/>
          <w:sz w:val="22"/>
        </w:rPr>
      </w:pPr>
    </w:p>
    <w:p>
      <w:pPr>
        <w:widowControl/>
        <w:ind w:firstLine="440" w:firstLineChars="200"/>
        <w:jc w:val="left"/>
        <w:rPr>
          <w:rFonts w:ascii="宋体" w:hAnsi="宋体" w:eastAsia="宋体" w:cs="宋体"/>
          <w:kern w:val="0"/>
          <w:sz w:val="22"/>
        </w:rPr>
      </w:pPr>
      <w:r>
        <w:rPr>
          <w:rFonts w:hint="eastAsia" w:ascii="宋体" w:hAnsi="宋体" w:eastAsia="宋体" w:cs="宋体"/>
          <w:kern w:val="0"/>
          <w:sz w:val="22"/>
        </w:rPr>
        <w:t>注：本表反映部门本年度政府性基金预算财政拨款收入、支出及结转和结余情况</w:t>
      </w:r>
    </w:p>
    <w:p>
      <w:pPr>
        <w:widowControl/>
        <w:jc w:val="left"/>
        <w:rPr>
          <w:rFonts w:ascii="宋体" w:hAnsi="宋体" w:eastAsia="宋体" w:cs="宋体"/>
          <w:kern w:val="0"/>
          <w:sz w:val="22"/>
        </w:rPr>
      </w:pPr>
    </w:p>
    <w:p>
      <w:pPr>
        <w:widowControl/>
        <w:ind w:firstLine="880" w:firstLineChars="400"/>
        <w:jc w:val="left"/>
        <w:rPr>
          <w:rFonts w:ascii="Times New Roman" w:hAnsi="Times New Roman" w:eastAsia="仿宋_GB2312" w:cs="Times New Roman"/>
          <w:kern w:val="0"/>
          <w:szCs w:val="21"/>
        </w:rPr>
      </w:pPr>
      <w:r>
        <w:rPr>
          <w:rFonts w:hint="eastAsia" w:ascii="宋体" w:hAnsi="宋体" w:eastAsia="宋体" w:cs="宋体"/>
          <w:kern w:val="0"/>
          <w:sz w:val="22"/>
        </w:rPr>
        <w:t>本单位没有政府性基金收入，也没有使用政府性基金安排的支出，故本表无数据。</w:t>
      </w: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p>
      <w:pPr>
        <w:widowControl/>
        <w:jc w:val="left"/>
        <w:rPr>
          <w:rFonts w:ascii="黑体" w:hAnsi="黑体" w:eastAsia="黑体"/>
          <w:szCs w:val="21"/>
        </w:r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部门：湖南稀土金属材料研究院</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ind w:firstLine="440" w:firstLineChars="200"/>
        <w:rPr>
          <w:rFonts w:ascii="Times New Roman" w:hAnsi="Times New Roman" w:eastAsia="宋体" w:cs="Times New Roman"/>
          <w:kern w:val="0"/>
          <w:sz w:val="22"/>
        </w:rPr>
      </w:pPr>
      <w:r>
        <w:rPr>
          <w:rFonts w:hint="eastAsia" w:ascii="宋体" w:hAnsi="宋体" w:eastAsia="宋体" w:cs="宋体"/>
          <w:kern w:val="0"/>
          <w:sz w:val="22"/>
        </w:rPr>
        <w:t>本单位本年度无国有资本经营预算财政拨款支出。</w:t>
      </w: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sz w:val="22"/>
        </w:rPr>
        <w:sectPr>
          <w:pgSz w:w="16838" w:h="11906" w:orient="landscape"/>
          <w:pgMar w:top="567" w:right="720" w:bottom="567"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实际收入25215.37万元，与上年相比，减少1064.89万元，减少4.05%，主要是因为受市场环境影响，经营收入略有减少。本年度支出25398.12万元，与上年相比，减少917.95万元，减少3.49%，原因是经营支出随经营收入减少相应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本年收入合计25215.37万元，其中：财政拨款收入3320.07万元，占13.17%；经营收入21895.3万元，占86.83%。</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本年支出合计25398.12万元，其中：基本支出1675.07万元，占6.59%；项目支出1645万元，占6.48%；经营支出22078.05万元，占86.93%。</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2020年度财政拨款收入总计3320.07万元，与上年相比，增加</w:t>
      </w:r>
      <w:r>
        <w:rPr>
          <w:rFonts w:hint="eastAsia" w:asciiTheme="minorEastAsia" w:hAnsiTheme="minorEastAsia" w:eastAsiaTheme="minorEastAsia"/>
          <w:sz w:val="32"/>
          <w:szCs w:val="32"/>
          <w:lang w:val="en-US" w:eastAsia="zh-CN"/>
        </w:rPr>
        <w:t>1125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51.25</w:t>
      </w:r>
      <w:r>
        <w:rPr>
          <w:rFonts w:hint="eastAsia" w:asciiTheme="minorEastAsia" w:hAnsiTheme="minorEastAsia" w:eastAsiaTheme="minorEastAsia"/>
          <w:sz w:val="32"/>
          <w:szCs w:val="32"/>
        </w:rPr>
        <w:t>%，主要是因为项目收入增加。财政拨款支出3320.07万元，与上年相比，增加288.54万元,增长9.52%，主要是</w:t>
      </w:r>
      <w:r>
        <w:rPr>
          <w:rFonts w:hint="eastAsia" w:asciiTheme="minorEastAsia" w:hAnsiTheme="minorEastAsia" w:eastAsiaTheme="minorEastAsia"/>
          <w:sz w:val="32"/>
          <w:szCs w:val="32"/>
          <w:lang w:eastAsia="zh-CN"/>
        </w:rPr>
        <w:t>因为</w:t>
      </w:r>
      <w:r>
        <w:rPr>
          <w:rFonts w:hint="eastAsia" w:asciiTheme="minorEastAsia" w:hAnsiTheme="minorEastAsia" w:eastAsiaTheme="minorEastAsia"/>
          <w:sz w:val="32"/>
          <w:szCs w:val="32"/>
          <w:lang w:val="en-US" w:eastAsia="zh-CN"/>
        </w:rPr>
        <w:t>2019年度项目支出中含2018年度项目支出结转结余，故2020年度</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eastAsia="zh-CN"/>
        </w:rPr>
        <w:t>相对</w:t>
      </w:r>
      <w:r>
        <w:rPr>
          <w:rFonts w:hint="eastAsia" w:asciiTheme="minorEastAsia" w:hAnsiTheme="minorEastAsia" w:eastAsiaTheme="minorEastAsia"/>
          <w:sz w:val="32"/>
          <w:szCs w:val="32"/>
        </w:rPr>
        <w:t>项目收入</w:t>
      </w:r>
      <w:r>
        <w:rPr>
          <w:rFonts w:hint="eastAsia" w:asciiTheme="minorEastAsia" w:hAnsiTheme="minorEastAsia" w:eastAsiaTheme="minorEastAsia"/>
          <w:sz w:val="32"/>
          <w:szCs w:val="32"/>
          <w:lang w:eastAsia="zh-CN"/>
        </w:rPr>
        <w:t>而言</w:t>
      </w:r>
      <w:r>
        <w:rPr>
          <w:rFonts w:hint="eastAsia" w:asciiTheme="minorEastAsia" w:hAnsiTheme="minorEastAsia" w:eastAsiaTheme="minorEastAsia"/>
          <w:sz w:val="32"/>
          <w:szCs w:val="32"/>
        </w:rPr>
        <w:t>增</w:t>
      </w:r>
      <w:r>
        <w:rPr>
          <w:rFonts w:hint="eastAsia" w:asciiTheme="minorEastAsia" w:hAnsiTheme="minorEastAsia" w:eastAsiaTheme="minorEastAsia"/>
          <w:sz w:val="32"/>
          <w:szCs w:val="32"/>
          <w:lang w:eastAsia="zh-CN"/>
        </w:rPr>
        <w:t>长的幅度偏小。</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2020年度财政拨款支出3320.07万元，占本年支出合计的13.07%，与上年相比，财政拨款支出增加288.54万元，增长9.52%，主要是因为项目支出增加。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3320.07万元，主要用于以下方面：科学技术支出（类）支出2368.07万元，占71.33%；社会保障和就业支出（类）支出672万元，占20.24%；卫生健康支出（类）支出5万元，占0.15%；资源勘探工业信息等支出（类）支出275万元，占8.28%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2020年度财政拨款支出年初预算数为1675.07万元，支出决算数为3320.07万元，完成年初预算的198.2%，其中：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1、一般科学技术支出（类）应用研究（款）高技术研究（项）。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年初预算为0万元，支出决算为1370万元，决算数大于年初预算数的主要原因是：该支出为本年追加的军用稀土材料基础研发条件建设项目资金。</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2、一般科学技术支出（类）技术研究与开发（款）机构运行（项）。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年初预算为998.07万元，支出决算为998.07万元，完成年初预算的100%。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3、社会保障和就业支出（类）行政事业单位养老支出（款）其他行政事业单位养老支出（项）。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年初预算为672万元，支出决算为672万元，完成年初预算的100%。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4、卫生健康支出（类）行政事业单位医疗（款）事业单位医疗（项）。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5、资源勘探工业信息等支出（类）支持中小企业发展和管理支出（款）其他支持中小企业发展和管理支出（项）。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年初预算为0万元，支出决算为275万元，决算数大于年初预算数的主要原因是：</w:t>
      </w:r>
      <w:r>
        <w:rPr>
          <w:rFonts w:ascii="宋体" w:hAnsi="宋体" w:eastAsia="宋体" w:cs="宋体"/>
          <w:sz w:val="32"/>
          <w:szCs w:val="32"/>
        </w:rPr>
        <w:t>财政</w:t>
      </w:r>
      <w:r>
        <w:rPr>
          <w:rFonts w:hint="eastAsia" w:ascii="宋体" w:hAnsi="宋体" w:eastAsia="宋体" w:cs="宋体"/>
          <w:sz w:val="32"/>
          <w:szCs w:val="32"/>
        </w:rPr>
        <w:t>追加矿山维简及所得税返还资金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2020年度财政拨款基本支出1675.07万元，其中：人员经费1675.07万元，占基本支出的100%,主要包括基本工资、绩效工资、离休费、退休费、抚恤金、医疗费补助。</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宋体" w:eastAsia="宋体" w:cs="宋体"/>
          <w:sz w:val="32"/>
          <w:szCs w:val="32"/>
        </w:rPr>
        <w:t>为事业单位改制的企业，财政对本单位</w:t>
      </w:r>
      <w:r>
        <w:rPr>
          <w:rFonts w:hint="eastAsia" w:asciiTheme="minorEastAsia" w:hAnsiTheme="minorEastAsia" w:eastAsiaTheme="minorEastAsia"/>
          <w:sz w:val="32"/>
          <w:szCs w:val="32"/>
        </w:rPr>
        <w:t>无“三公”经费财政拨款。</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2020年度</w:t>
      </w:r>
      <w:r>
        <w:rPr>
          <w:rFonts w:hint="eastAsia" w:asciiTheme="minorEastAsia" w:hAnsiTheme="minorEastAsia"/>
          <w:b/>
          <w:bCs/>
          <w:sz w:val="32"/>
          <w:szCs w:val="32"/>
        </w:rPr>
        <w:t>无</w:t>
      </w:r>
      <w:r>
        <w:rPr>
          <w:rFonts w:hint="eastAsia" w:asciiTheme="minorEastAsia" w:hAnsiTheme="minorEastAsia"/>
          <w:sz w:val="32"/>
          <w:szCs w:val="32"/>
        </w:rPr>
        <w:t>“三公”经费财政拨款支出。</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Theme="minorEastAsia" w:hAnsiTheme="minorEastAsia" w:eastAsiaTheme="minorEastAsia"/>
          <w:b/>
          <w:bCs/>
          <w:sz w:val="32"/>
          <w:szCs w:val="32"/>
        </w:rPr>
        <w:t>无</w:t>
      </w:r>
      <w:r>
        <w:rPr>
          <w:rFonts w:hint="eastAsia" w:asciiTheme="minorEastAsia" w:hAnsiTheme="minorEastAsia" w:eastAsiaTheme="minorEastAsia"/>
          <w:sz w:val="32"/>
          <w:szCs w:val="32"/>
        </w:rPr>
        <w:t>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宋体" w:eastAsia="宋体" w:cs="宋体"/>
          <w:sz w:val="32"/>
          <w:szCs w:val="32"/>
        </w:rPr>
        <w:t>为事业单位改制的企业，</w:t>
      </w:r>
      <w:r>
        <w:rPr>
          <w:rFonts w:hint="eastAsia" w:asciiTheme="minorEastAsia" w:hAnsiTheme="minorEastAsia" w:eastAsiaTheme="minorEastAsia"/>
          <w:sz w:val="32"/>
          <w:szCs w:val="32"/>
        </w:rPr>
        <w:t>无机关运行经费支出。</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宋体" w:eastAsia="宋体" w:cs="宋体"/>
          <w:sz w:val="32"/>
          <w:szCs w:val="32"/>
        </w:rPr>
        <w:t>为事业单位改制的企业，</w:t>
      </w:r>
      <w:r>
        <w:rPr>
          <w:rFonts w:hint="eastAsia" w:asciiTheme="minorEastAsia" w:hAnsiTheme="minorEastAsia" w:eastAsiaTheme="minorEastAsia"/>
          <w:sz w:val="32"/>
          <w:szCs w:val="32"/>
        </w:rPr>
        <w:t>无财政拨款一般性支出。</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本单位无政府采购支出。</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截至2020年12月31日，本单位共有车辆11辆，其中，均为其他用车，其他用车主要是为生产经营活动服务。</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宋体" w:eastAsia="宋体" w:cs="宋体"/>
          <w:sz w:val="32"/>
          <w:szCs w:val="32"/>
        </w:rPr>
        <w:t>为事业单位改制的企业，</w:t>
      </w:r>
      <w:r>
        <w:rPr>
          <w:rFonts w:hint="eastAsia" w:asciiTheme="minorEastAsia" w:hAnsiTheme="minorEastAsia" w:eastAsiaTheme="minorEastAsia"/>
          <w:sz w:val="32"/>
          <w:szCs w:val="32"/>
        </w:rPr>
        <w:t>无绩效评价报告。</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500" w:lineRule="exact"/>
        <w:ind w:firstLine="640" w:firstLineChars="200"/>
        <w:rPr>
          <w:rFonts w:asciiTheme="majorEastAsia" w:hAnsiTheme="majorEastAsia" w:eastAsiaTheme="majorEastAsia" w:cstheme="majorEastAsia"/>
          <w:bCs/>
          <w:kern w:val="0"/>
          <w:sz w:val="32"/>
          <w:szCs w:val="32"/>
        </w:rPr>
      </w:pPr>
      <w:r>
        <w:rPr>
          <w:rFonts w:hint="eastAsia" w:asciiTheme="majorEastAsia" w:hAnsiTheme="majorEastAsia" w:eastAsiaTheme="majorEastAsia" w:cstheme="majorEastAsia"/>
          <w:bCs/>
          <w:kern w:val="0"/>
          <w:sz w:val="32"/>
          <w:szCs w:val="32"/>
        </w:rPr>
        <w:t>1、基本支出：指为保障机构正常运转、完成日常工作任务而发生的各项支出，包括人员支出和公用支出。</w:t>
      </w:r>
    </w:p>
    <w:p>
      <w:pPr>
        <w:widowControl/>
        <w:spacing w:line="600" w:lineRule="exact"/>
        <w:ind w:firstLine="660"/>
        <w:rPr>
          <w:rFonts w:ascii="宋体" w:hAnsi="宋体" w:eastAsia="宋体" w:cs="宋体"/>
          <w:sz w:val="32"/>
          <w:szCs w:val="32"/>
        </w:rPr>
      </w:pPr>
      <w:r>
        <w:rPr>
          <w:rFonts w:hint="eastAsia" w:asciiTheme="majorEastAsia" w:hAnsiTheme="majorEastAsia" w:eastAsiaTheme="majorEastAsia" w:cstheme="majorEastAsia"/>
          <w:bCs/>
          <w:kern w:val="0"/>
          <w:sz w:val="32"/>
          <w:szCs w:val="32"/>
        </w:rPr>
        <w:t>2、项目支出：指在基本支出以外为完成相关行政任务和事业发展目标所发生的各项支出。</w:t>
      </w:r>
    </w:p>
    <w:p>
      <w:pPr>
        <w:widowControl/>
        <w:spacing w:line="600" w:lineRule="exact"/>
        <w:ind w:firstLine="660"/>
        <w:rPr>
          <w:rFonts w:ascii="宋体" w:hAnsi="宋体" w:eastAsia="宋体" w:cs="宋体"/>
          <w:sz w:val="32"/>
          <w:szCs w:val="32"/>
        </w:rPr>
      </w:pPr>
      <w:r>
        <w:rPr>
          <w:rFonts w:hint="eastAsia" w:ascii="宋体" w:hAnsi="宋体" w:eastAsia="宋体" w:cs="宋体"/>
          <w:sz w:val="32"/>
          <w:szCs w:val="32"/>
        </w:rPr>
        <w:t>3、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ascii="宋体" w:hAnsi="宋体" w:eastAsia="宋体" w:cs="宋体"/>
          <w:sz w:val="32"/>
          <w:szCs w:val="32"/>
        </w:rPr>
      </w:pPr>
      <w:r>
        <w:rPr>
          <w:rFonts w:hint="eastAsia" w:ascii="宋体" w:hAnsi="宋体" w:eastAsia="宋体" w:cs="宋体"/>
          <w:sz w:val="32"/>
          <w:szCs w:val="32"/>
        </w:rPr>
        <w:t>4、“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jc w:val="left"/>
        <w:rPr>
          <w:rFonts w:asciiTheme="minorEastAsia" w:hAnsiTheme="minorEastAsia"/>
          <w:sz w:val="28"/>
          <w:szCs w:val="32"/>
        </w:rPr>
      </w:pP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asciiTheme="minorEastAsia" w:hAnsiTheme="minorEastAsia"/>
          <w:sz w:val="32"/>
          <w:szCs w:val="32"/>
        </w:rPr>
      </w:pPr>
    </w:p>
    <w:p>
      <w:pPr>
        <w:ind w:firstLine="960" w:firstLineChars="300"/>
        <w:jc w:val="left"/>
        <w:rPr>
          <w:rFonts w:cs="黑体" w:asciiTheme="minorEastAsia" w:hAnsiTheme="minorEastAsia"/>
          <w:color w:val="000000"/>
          <w:kern w:val="0"/>
          <w:sz w:val="32"/>
          <w:szCs w:val="32"/>
        </w:rPr>
      </w:pPr>
      <w:r>
        <w:rPr>
          <w:rFonts w:hint="eastAsia" w:asciiTheme="minorEastAsia" w:hAnsiTheme="minorEastAsia"/>
          <w:sz w:val="32"/>
          <w:szCs w:val="32"/>
        </w:rPr>
        <w:t>本单位</w:t>
      </w:r>
      <w:r>
        <w:rPr>
          <w:rFonts w:hint="eastAsia" w:ascii="宋体" w:eastAsia="宋体" w:cs="宋体"/>
          <w:kern w:val="0"/>
          <w:sz w:val="32"/>
          <w:szCs w:val="32"/>
        </w:rPr>
        <w:t>为事业单位改制的企业，</w:t>
      </w:r>
      <w:r>
        <w:rPr>
          <w:rFonts w:hint="eastAsia" w:asciiTheme="minorEastAsia" w:hAnsiTheme="minorEastAsia"/>
          <w:sz w:val="32"/>
          <w:szCs w:val="32"/>
        </w:rPr>
        <w:t>无绩效评价报告。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0E7FCF"/>
    <w:rsid w:val="00103957"/>
    <w:rsid w:val="00152C6D"/>
    <w:rsid w:val="001530CF"/>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3B32"/>
    <w:rsid w:val="0027426B"/>
    <w:rsid w:val="002845CF"/>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52CE6"/>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EC7E54"/>
    <w:rsid w:val="00F74360"/>
    <w:rsid w:val="00FB462F"/>
    <w:rsid w:val="00FE16FA"/>
    <w:rsid w:val="00FE328A"/>
    <w:rsid w:val="00FE6269"/>
    <w:rsid w:val="00FF5CD6"/>
    <w:rsid w:val="023F0190"/>
    <w:rsid w:val="02DE250E"/>
    <w:rsid w:val="05A11B98"/>
    <w:rsid w:val="0C3B447B"/>
    <w:rsid w:val="0D457F46"/>
    <w:rsid w:val="138548D2"/>
    <w:rsid w:val="1411722E"/>
    <w:rsid w:val="17894279"/>
    <w:rsid w:val="1A13449F"/>
    <w:rsid w:val="1F9B1B36"/>
    <w:rsid w:val="245C371B"/>
    <w:rsid w:val="27FC5027"/>
    <w:rsid w:val="29420634"/>
    <w:rsid w:val="2C632C59"/>
    <w:rsid w:val="2F767A85"/>
    <w:rsid w:val="30D27281"/>
    <w:rsid w:val="32862555"/>
    <w:rsid w:val="330A3EEA"/>
    <w:rsid w:val="33A27182"/>
    <w:rsid w:val="3A8D73D0"/>
    <w:rsid w:val="3C140D6C"/>
    <w:rsid w:val="3DFB1D02"/>
    <w:rsid w:val="3F74496F"/>
    <w:rsid w:val="3F9C3DBC"/>
    <w:rsid w:val="460E7006"/>
    <w:rsid w:val="48314355"/>
    <w:rsid w:val="4AAA3798"/>
    <w:rsid w:val="4CFF5E54"/>
    <w:rsid w:val="4F5D1478"/>
    <w:rsid w:val="4F5F124A"/>
    <w:rsid w:val="51B93099"/>
    <w:rsid w:val="5268479D"/>
    <w:rsid w:val="57FD383D"/>
    <w:rsid w:val="58A95F4B"/>
    <w:rsid w:val="5D9F1EAA"/>
    <w:rsid w:val="60FE7FB6"/>
    <w:rsid w:val="61E74C11"/>
    <w:rsid w:val="660404C6"/>
    <w:rsid w:val="67245125"/>
    <w:rsid w:val="68F4440B"/>
    <w:rsid w:val="6A3E2783"/>
    <w:rsid w:val="6AE47C60"/>
    <w:rsid w:val="6AF4631D"/>
    <w:rsid w:val="6F047A65"/>
    <w:rsid w:val="6F64075D"/>
    <w:rsid w:val="70276773"/>
    <w:rsid w:val="717A6491"/>
    <w:rsid w:val="719906C0"/>
    <w:rsid w:val="72743A8D"/>
    <w:rsid w:val="7AFD030B"/>
    <w:rsid w:val="7B46765C"/>
    <w:rsid w:val="7EA97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1644</Words>
  <Characters>9375</Characters>
  <Lines>78</Lines>
  <Paragraphs>21</Paragraphs>
  <TotalTime>23</TotalTime>
  <ScaleCrop>false</ScaleCrop>
  <LinksUpToDate>false</LinksUpToDate>
  <CharactersWithSpaces>10998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2021-08-30T05:28:20Z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736602C85C1E4302ADE2B519E52B1AD8</vt:lpwstr>
  </property>
</Properties>
</file>